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23" w:rsidRPr="000F3401" w:rsidRDefault="00E05B23" w:rsidP="00E05B23">
      <w:pPr>
        <w:pStyle w:val="1"/>
        <w:numPr>
          <w:ilvl w:val="0"/>
          <w:numId w:val="1"/>
        </w:numPr>
        <w:tabs>
          <w:tab w:val="clear" w:pos="1440"/>
        </w:tabs>
        <w:spacing w:before="240" w:after="240" w:line="520" w:lineRule="exact"/>
        <w:ind w:left="900" w:hanging="420"/>
        <w:rPr>
          <w:rFonts w:ascii="仿宋" w:eastAsia="仿宋" w:hAnsi="仿宋"/>
          <w:color w:val="000000" w:themeColor="text1"/>
          <w:sz w:val="44"/>
          <w:szCs w:val="44"/>
        </w:rPr>
      </w:pPr>
      <w:bookmarkStart w:id="0" w:name="_Toc511846158"/>
      <w:bookmarkStart w:id="1" w:name="_Toc70081222"/>
      <w:bookmarkStart w:id="2" w:name="_Toc70081319"/>
      <w:bookmarkStart w:id="3" w:name="_Toc50985652"/>
      <w:bookmarkStart w:id="4" w:name="_Toc67131244"/>
      <w:bookmarkStart w:id="5" w:name="_Toc11555194"/>
      <w:bookmarkStart w:id="6" w:name="_Toc50985475"/>
      <w:bookmarkStart w:id="7" w:name="_Toc11500281"/>
      <w:bookmarkStart w:id="8" w:name="_Toc11554640"/>
      <w:bookmarkStart w:id="9" w:name="_Toc8895740"/>
      <w:bookmarkStart w:id="10" w:name="_Toc11499585"/>
      <w:bookmarkStart w:id="11" w:name="_Toc521201598"/>
      <w:bookmarkStart w:id="12" w:name="_Toc521203419"/>
      <w:bookmarkStart w:id="13" w:name="_Toc80582202"/>
      <w:bookmarkStart w:id="14" w:name="_Toc82246196"/>
      <w:bookmarkStart w:id="15" w:name="_Toc82246252"/>
      <w:bookmarkStart w:id="16" w:name="_Toc82328637"/>
      <w:bookmarkStart w:id="17" w:name="_Toc82485145"/>
      <w:bookmarkStart w:id="18" w:name="_Toc82502364"/>
      <w:bookmarkStart w:id="19" w:name="_Toc83809635"/>
      <w:bookmarkStart w:id="20" w:name="_Toc83809759"/>
      <w:bookmarkStart w:id="21" w:name="_Toc83810511"/>
      <w:bookmarkStart w:id="22" w:name="_Toc83810782"/>
      <w:bookmarkStart w:id="23" w:name="_Toc163975189"/>
      <w:bookmarkStart w:id="24" w:name="_Toc163975556"/>
      <w:bookmarkStart w:id="25" w:name="_Toc163975719"/>
      <w:bookmarkStart w:id="26" w:name="_Toc163975792"/>
      <w:bookmarkStart w:id="27" w:name="_Toc163975981"/>
      <w:bookmarkStart w:id="28" w:name="_Toc163976164"/>
      <w:bookmarkStart w:id="29" w:name="_Toc167105242"/>
      <w:bookmarkStart w:id="30" w:name="_Toc184437989"/>
      <w:bookmarkStart w:id="31" w:name="_Toc185151117"/>
      <w:bookmarkStart w:id="32" w:name="_Toc185326896"/>
      <w:bookmarkStart w:id="33" w:name="_Toc219600811"/>
      <w:bookmarkStart w:id="34" w:name="_Toc235608917"/>
      <w:bookmarkStart w:id="35" w:name="_Toc238962554"/>
      <w:bookmarkStart w:id="36" w:name="_Toc9303268"/>
      <w:bookmarkStart w:id="37" w:name="_Toc21854782"/>
      <w:bookmarkStart w:id="38" w:name="_Toc21861905"/>
      <w:bookmarkStart w:id="39" w:name="_Toc21916234"/>
      <w:bookmarkStart w:id="40" w:name="_Toc21916302"/>
      <w:bookmarkStart w:id="41" w:name="_Toc21916435"/>
      <w:bookmarkStart w:id="42" w:name="_Toc24342011"/>
      <w:bookmarkStart w:id="43" w:name="_Toc24342875"/>
      <w:bookmarkEnd w:id="0"/>
      <w:r w:rsidRPr="000F3401">
        <w:rPr>
          <w:rFonts w:ascii="仿宋" w:eastAsia="仿宋" w:hAnsi="仿宋" w:hint="eastAsia"/>
          <w:color w:val="000000" w:themeColor="text1"/>
          <w:sz w:val="44"/>
          <w:szCs w:val="44"/>
        </w:rPr>
        <w:t>产品清单及技术参数要求</w:t>
      </w:r>
    </w:p>
    <w:p w:rsidR="00E05B23" w:rsidRPr="000F3401" w:rsidRDefault="00E05B23" w:rsidP="00E05B23">
      <w:pPr>
        <w:pStyle w:val="2"/>
        <w:numPr>
          <w:ilvl w:val="1"/>
          <w:numId w:val="1"/>
        </w:numPr>
        <w:tabs>
          <w:tab w:val="clear" w:pos="576"/>
        </w:tabs>
        <w:adjustRightInd w:val="0"/>
        <w:snapToGrid w:val="0"/>
        <w:spacing w:line="520" w:lineRule="exact"/>
        <w:ind w:left="1320" w:hanging="420"/>
        <w:rPr>
          <w:rFonts w:ascii="仿宋" w:eastAsia="仿宋" w:hAnsi="仿宋"/>
          <w:color w:val="000000" w:themeColor="text1"/>
        </w:rPr>
      </w:pPr>
      <w:r w:rsidRPr="000F3401">
        <w:rPr>
          <w:rFonts w:ascii="仿宋" w:eastAsia="仿宋" w:hAnsi="仿宋" w:hint="eastAsia"/>
          <w:color w:val="000000" w:themeColor="text1"/>
        </w:rPr>
        <w:t>产品清单</w:t>
      </w:r>
    </w:p>
    <w:tbl>
      <w:tblPr>
        <w:tblStyle w:val="ac"/>
        <w:tblW w:w="9493" w:type="dxa"/>
        <w:jc w:val="center"/>
        <w:tblLayout w:type="fixed"/>
        <w:tblLook w:val="04A0"/>
      </w:tblPr>
      <w:tblGrid>
        <w:gridCol w:w="745"/>
        <w:gridCol w:w="3686"/>
        <w:gridCol w:w="852"/>
        <w:gridCol w:w="850"/>
        <w:gridCol w:w="2367"/>
        <w:gridCol w:w="993"/>
      </w:tblGrid>
      <w:tr w:rsidR="00E05B23" w:rsidRPr="000F3401" w:rsidTr="003511EB">
        <w:trPr>
          <w:jc w:val="center"/>
        </w:trPr>
        <w:tc>
          <w:tcPr>
            <w:tcW w:w="745"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序号</w:t>
            </w:r>
          </w:p>
        </w:tc>
        <w:tc>
          <w:tcPr>
            <w:tcW w:w="3686"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标的名称</w:t>
            </w:r>
          </w:p>
        </w:tc>
        <w:tc>
          <w:tcPr>
            <w:tcW w:w="852"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数量</w:t>
            </w:r>
          </w:p>
        </w:tc>
        <w:tc>
          <w:tcPr>
            <w:tcW w:w="850"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单位</w:t>
            </w:r>
          </w:p>
        </w:tc>
        <w:tc>
          <w:tcPr>
            <w:tcW w:w="2367"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采购标的所属行业</w:t>
            </w:r>
          </w:p>
        </w:tc>
        <w:tc>
          <w:tcPr>
            <w:tcW w:w="993" w:type="dxa"/>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属性</w:t>
            </w:r>
          </w:p>
        </w:tc>
      </w:tr>
      <w:tr w:rsidR="00E05B23" w:rsidRPr="000F3401" w:rsidTr="003511EB">
        <w:trPr>
          <w:jc w:val="center"/>
        </w:trPr>
        <w:tc>
          <w:tcPr>
            <w:tcW w:w="745"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1</w:t>
            </w:r>
          </w:p>
        </w:tc>
        <w:tc>
          <w:tcPr>
            <w:tcW w:w="3686"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核心交换机</w:t>
            </w:r>
          </w:p>
        </w:tc>
        <w:tc>
          <w:tcPr>
            <w:tcW w:w="852"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color w:val="000000" w:themeColor="text1"/>
              </w:rPr>
              <w:t>4</w:t>
            </w:r>
          </w:p>
        </w:tc>
        <w:tc>
          <w:tcPr>
            <w:tcW w:w="850"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台</w:t>
            </w:r>
          </w:p>
        </w:tc>
        <w:tc>
          <w:tcPr>
            <w:tcW w:w="2367"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工业</w:t>
            </w:r>
          </w:p>
        </w:tc>
        <w:tc>
          <w:tcPr>
            <w:tcW w:w="993"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货物</w:t>
            </w:r>
          </w:p>
        </w:tc>
      </w:tr>
      <w:tr w:rsidR="00E05B23" w:rsidRPr="000F3401" w:rsidTr="003511EB">
        <w:trPr>
          <w:jc w:val="center"/>
        </w:trPr>
        <w:tc>
          <w:tcPr>
            <w:tcW w:w="745"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2</w:t>
            </w:r>
          </w:p>
        </w:tc>
        <w:tc>
          <w:tcPr>
            <w:tcW w:w="3686"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交换机电路保护器</w:t>
            </w:r>
          </w:p>
        </w:tc>
        <w:tc>
          <w:tcPr>
            <w:tcW w:w="852"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color w:val="000000" w:themeColor="text1"/>
              </w:rPr>
              <w:t>1</w:t>
            </w:r>
          </w:p>
        </w:tc>
        <w:tc>
          <w:tcPr>
            <w:tcW w:w="850"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台</w:t>
            </w:r>
          </w:p>
        </w:tc>
        <w:tc>
          <w:tcPr>
            <w:tcW w:w="2367"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工业</w:t>
            </w:r>
          </w:p>
        </w:tc>
        <w:tc>
          <w:tcPr>
            <w:tcW w:w="993"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货物</w:t>
            </w:r>
          </w:p>
        </w:tc>
      </w:tr>
      <w:tr w:rsidR="00E05B23" w:rsidRPr="000F3401" w:rsidTr="003511EB">
        <w:trPr>
          <w:jc w:val="center"/>
        </w:trPr>
        <w:tc>
          <w:tcPr>
            <w:tcW w:w="745"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3</w:t>
            </w:r>
          </w:p>
        </w:tc>
        <w:tc>
          <w:tcPr>
            <w:tcW w:w="3686"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szCs w:val="21"/>
              </w:rPr>
              <w:t>网络运维管理平台扩容软件</w:t>
            </w:r>
          </w:p>
        </w:tc>
        <w:tc>
          <w:tcPr>
            <w:tcW w:w="852"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color w:val="000000" w:themeColor="text1"/>
              </w:rPr>
              <w:t>1</w:t>
            </w:r>
          </w:p>
        </w:tc>
        <w:tc>
          <w:tcPr>
            <w:tcW w:w="850"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套</w:t>
            </w:r>
          </w:p>
        </w:tc>
        <w:tc>
          <w:tcPr>
            <w:tcW w:w="2367"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工业</w:t>
            </w:r>
          </w:p>
        </w:tc>
        <w:tc>
          <w:tcPr>
            <w:tcW w:w="993" w:type="dxa"/>
            <w:vAlign w:val="center"/>
          </w:tcPr>
          <w:p w:rsidR="00E05B23" w:rsidRPr="000F3401" w:rsidRDefault="00E05B23" w:rsidP="003511EB">
            <w:pPr>
              <w:spacing w:line="360" w:lineRule="auto"/>
              <w:rPr>
                <w:rFonts w:ascii="仿宋" w:eastAsia="仿宋" w:hAnsi="仿宋"/>
                <w:color w:val="000000" w:themeColor="text1"/>
              </w:rPr>
            </w:pPr>
            <w:r w:rsidRPr="000F3401">
              <w:rPr>
                <w:rFonts w:ascii="仿宋" w:eastAsia="仿宋" w:hAnsi="仿宋" w:hint="eastAsia"/>
                <w:color w:val="000000" w:themeColor="text1"/>
              </w:rPr>
              <w:t>货物</w:t>
            </w:r>
          </w:p>
        </w:tc>
      </w:tr>
    </w:tbl>
    <w:p w:rsidR="00E05B23" w:rsidRPr="000F3401" w:rsidRDefault="00E05B23" w:rsidP="00E05B23">
      <w:pPr>
        <w:rPr>
          <w:rFonts w:ascii="仿宋" w:eastAsia="仿宋" w:hAnsi="仿宋"/>
          <w:color w:val="000000" w:themeColor="text1"/>
        </w:rPr>
      </w:pPr>
    </w:p>
    <w:p w:rsidR="00E05B23" w:rsidRPr="000F3401" w:rsidRDefault="00E05B23" w:rsidP="00E05B23">
      <w:pPr>
        <w:pStyle w:val="2"/>
        <w:numPr>
          <w:ilvl w:val="1"/>
          <w:numId w:val="1"/>
        </w:numPr>
        <w:tabs>
          <w:tab w:val="clear" w:pos="576"/>
        </w:tabs>
        <w:adjustRightInd w:val="0"/>
        <w:snapToGrid w:val="0"/>
        <w:spacing w:line="520" w:lineRule="exact"/>
        <w:ind w:left="1320" w:hanging="420"/>
        <w:rPr>
          <w:rFonts w:ascii="仿宋" w:eastAsia="仿宋" w:hAnsi="仿宋"/>
          <w:color w:val="000000" w:themeColor="text1"/>
        </w:rPr>
      </w:pPr>
      <w:r w:rsidRPr="000F3401">
        <w:rPr>
          <w:rFonts w:ascii="仿宋" w:eastAsia="仿宋" w:hAnsi="仿宋" w:hint="eastAsia"/>
          <w:color w:val="000000" w:themeColor="text1"/>
        </w:rPr>
        <w:t>技术参数要求</w:t>
      </w:r>
    </w:p>
    <w:p w:rsidR="00E05B23" w:rsidRPr="000F3401" w:rsidRDefault="00E05B23" w:rsidP="00E05B23">
      <w:pPr>
        <w:pStyle w:val="3"/>
        <w:spacing w:after="100" w:afterAutospacing="1" w:line="500" w:lineRule="exact"/>
        <w:ind w:left="420"/>
        <w:rPr>
          <w:rFonts w:ascii="仿宋" w:eastAsia="仿宋"/>
          <w:color w:val="000000" w:themeColor="text1"/>
        </w:rPr>
      </w:pPr>
      <w:bookmarkStart w:id="44" w:name="_Toc507399687"/>
      <w:bookmarkStart w:id="45" w:name="_Toc511642029"/>
      <w:r w:rsidRPr="000F3401">
        <w:rPr>
          <w:rFonts w:ascii="仿宋" w:eastAsia="仿宋" w:hint="eastAsia"/>
          <w:color w:val="000000" w:themeColor="text1"/>
        </w:rPr>
        <w:t>2</w:t>
      </w:r>
      <w:r w:rsidRPr="000F3401">
        <w:rPr>
          <w:rFonts w:ascii="仿宋" w:eastAsia="仿宋"/>
          <w:color w:val="000000" w:themeColor="text1"/>
        </w:rPr>
        <w:t xml:space="preserve">.2.1 </w:t>
      </w:r>
      <w:bookmarkEnd w:id="44"/>
      <w:bookmarkEnd w:id="45"/>
      <w:r w:rsidRPr="000F3401">
        <w:rPr>
          <w:rFonts w:ascii="仿宋" w:eastAsia="仿宋" w:hint="eastAsia"/>
          <w:color w:val="000000" w:themeColor="text1"/>
          <w:szCs w:val="21"/>
        </w:rPr>
        <w:t>核心交换机</w:t>
      </w:r>
    </w:p>
    <w:tbl>
      <w:tblPr>
        <w:tblStyle w:val="ac"/>
        <w:tblW w:w="9209" w:type="dxa"/>
        <w:tblLook w:val="04A0"/>
      </w:tblPr>
      <w:tblGrid>
        <w:gridCol w:w="846"/>
        <w:gridCol w:w="1417"/>
        <w:gridCol w:w="6946"/>
      </w:tblGrid>
      <w:tr w:rsidR="00E05B23" w:rsidRPr="000F3401" w:rsidTr="003511EB">
        <w:tc>
          <w:tcPr>
            <w:tcW w:w="846" w:type="dxa"/>
          </w:tcPr>
          <w:p w:rsidR="00E05B23" w:rsidRPr="000F3401" w:rsidRDefault="00E05B23" w:rsidP="003511EB">
            <w:pPr>
              <w:jc w:val="center"/>
              <w:rPr>
                <w:rFonts w:ascii="仿宋" w:eastAsia="仿宋" w:hAnsi="仿宋"/>
                <w:color w:val="000000" w:themeColor="text1"/>
                <w:sz w:val="24"/>
              </w:rPr>
            </w:pPr>
            <w:r w:rsidRPr="000F3401">
              <w:rPr>
                <w:rFonts w:ascii="仿宋" w:eastAsia="仿宋" w:hAnsi="仿宋" w:hint="eastAsia"/>
                <w:color w:val="000000" w:themeColor="text1"/>
                <w:sz w:val="24"/>
              </w:rPr>
              <w:t>序号</w:t>
            </w:r>
          </w:p>
        </w:tc>
        <w:tc>
          <w:tcPr>
            <w:tcW w:w="1417" w:type="dxa"/>
          </w:tcPr>
          <w:p w:rsidR="00E05B23" w:rsidRPr="000F3401" w:rsidRDefault="00E05B23" w:rsidP="003511EB">
            <w:pPr>
              <w:jc w:val="center"/>
              <w:rPr>
                <w:rFonts w:ascii="仿宋" w:eastAsia="仿宋" w:hAnsi="仿宋"/>
                <w:color w:val="000000" w:themeColor="text1"/>
                <w:sz w:val="24"/>
              </w:rPr>
            </w:pPr>
            <w:r w:rsidRPr="000F3401">
              <w:rPr>
                <w:rFonts w:ascii="仿宋" w:eastAsia="仿宋" w:hAnsi="仿宋" w:hint="eastAsia"/>
                <w:color w:val="000000" w:themeColor="text1"/>
                <w:sz w:val="24"/>
              </w:rPr>
              <w:t>指标项</w:t>
            </w:r>
          </w:p>
        </w:tc>
        <w:tc>
          <w:tcPr>
            <w:tcW w:w="6946" w:type="dxa"/>
          </w:tcPr>
          <w:p w:rsidR="00E05B23" w:rsidRPr="000F3401" w:rsidRDefault="00E05B23" w:rsidP="003511EB">
            <w:pPr>
              <w:jc w:val="center"/>
              <w:rPr>
                <w:rFonts w:ascii="仿宋" w:eastAsia="仿宋" w:hAnsi="仿宋"/>
                <w:color w:val="000000" w:themeColor="text1"/>
                <w:sz w:val="24"/>
              </w:rPr>
            </w:pPr>
            <w:r w:rsidRPr="000F3401">
              <w:rPr>
                <w:rFonts w:ascii="仿宋" w:eastAsia="仿宋" w:hAnsi="仿宋" w:hint="eastAsia"/>
                <w:color w:val="000000" w:themeColor="text1"/>
                <w:sz w:val="24"/>
              </w:rPr>
              <w:t>技术参数要求</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p>
        </w:tc>
        <w:tc>
          <w:tcPr>
            <w:tcW w:w="1417" w:type="dxa"/>
            <w:vMerge w:val="restart"/>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★性能指标</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1.★主控引擎≥2；整机业务线卡槽位数≥4，主控槽位与业务线卡槽位宽度相同，为全宽槽位，冗余电源，冗余风扇</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2</w:t>
            </w:r>
          </w:p>
        </w:tc>
        <w:tc>
          <w:tcPr>
            <w:tcW w:w="1417" w:type="dxa"/>
            <w:vMerge/>
          </w:tcPr>
          <w:p w:rsidR="00E05B23" w:rsidRPr="000F3401" w:rsidRDefault="00E05B23" w:rsidP="003511EB">
            <w:pPr>
              <w:rPr>
                <w:rFonts w:ascii="仿宋" w:eastAsia="仿宋" w:hAnsi="仿宋"/>
                <w:color w:val="000000" w:themeColor="text1"/>
                <w:sz w:val="24"/>
              </w:rPr>
            </w:pP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交换容量≥</w:t>
            </w:r>
            <w:r w:rsidRPr="000F3401">
              <w:rPr>
                <w:rFonts w:ascii="仿宋" w:eastAsia="仿宋" w:hAnsi="仿宋"/>
                <w:color w:val="000000" w:themeColor="text1"/>
                <w:sz w:val="24"/>
              </w:rPr>
              <w:t>51.2</w:t>
            </w:r>
            <w:r w:rsidRPr="000F3401">
              <w:rPr>
                <w:rFonts w:ascii="仿宋" w:eastAsia="仿宋" w:hAnsi="仿宋" w:hint="eastAsia"/>
                <w:color w:val="000000" w:themeColor="text1"/>
                <w:sz w:val="24"/>
              </w:rPr>
              <w:t>Tbps，包转发率≥38000Mpps</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3</w:t>
            </w:r>
          </w:p>
        </w:tc>
        <w:tc>
          <w:tcPr>
            <w:tcW w:w="141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V</w:t>
            </w:r>
            <w:r w:rsidRPr="000F3401">
              <w:rPr>
                <w:rFonts w:ascii="仿宋" w:eastAsia="仿宋" w:hAnsi="仿宋"/>
                <w:color w:val="000000" w:themeColor="text1"/>
                <w:sz w:val="24"/>
              </w:rPr>
              <w:t>LAN</w:t>
            </w:r>
            <w:r w:rsidRPr="000F3401">
              <w:rPr>
                <w:rFonts w:ascii="仿宋" w:eastAsia="仿宋" w:hAnsi="仿宋" w:hint="eastAsia"/>
                <w:color w:val="000000" w:themeColor="text1"/>
                <w:sz w:val="24"/>
              </w:rPr>
              <w:t>支持</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支持4K VLAN，支持IEEE 802.1d(STP)、 802.w(RSTP)、 802.1s(MSTP)</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4</w:t>
            </w:r>
          </w:p>
        </w:tc>
        <w:tc>
          <w:tcPr>
            <w:tcW w:w="141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路由支持</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支持静态路由、RIP、RIPng、OSPF、OSPFv3、BGP、BGP4+、ISIS、ISISv6</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5</w:t>
            </w:r>
          </w:p>
        </w:tc>
        <w:tc>
          <w:tcPr>
            <w:tcW w:w="141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V</w:t>
            </w:r>
            <w:r w:rsidRPr="000F3401">
              <w:rPr>
                <w:rFonts w:ascii="仿宋" w:eastAsia="仿宋" w:hAnsi="仿宋"/>
                <w:color w:val="000000" w:themeColor="text1"/>
                <w:sz w:val="24"/>
              </w:rPr>
              <w:t>XLAN</w:t>
            </w:r>
            <w:r w:rsidRPr="000F3401">
              <w:rPr>
                <w:rFonts w:ascii="仿宋" w:eastAsia="仿宋" w:hAnsi="仿宋" w:hint="eastAsia"/>
                <w:color w:val="000000" w:themeColor="text1"/>
                <w:sz w:val="24"/>
              </w:rPr>
              <w:t>支持</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支持VxLAN功能，支持VxLAN网络的自动化部署</w:t>
            </w:r>
          </w:p>
        </w:tc>
      </w:tr>
      <w:tr w:rsidR="00E05B23" w:rsidRPr="000F3401" w:rsidTr="003511EB">
        <w:tc>
          <w:tcPr>
            <w:tcW w:w="846" w:type="dxa"/>
            <w:vMerge w:val="restart"/>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6</w:t>
            </w:r>
          </w:p>
        </w:tc>
        <w:tc>
          <w:tcPr>
            <w:tcW w:w="1417" w:type="dxa"/>
            <w:vMerge w:val="restart"/>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高可用</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M-LAG跨设备链路聚合技术，设备可独立升级，实现业务零中断</w:t>
            </w:r>
          </w:p>
        </w:tc>
      </w:tr>
      <w:tr w:rsidR="00E05B23" w:rsidRPr="000F3401" w:rsidTr="003511EB">
        <w:tc>
          <w:tcPr>
            <w:tcW w:w="846" w:type="dxa"/>
            <w:vMerge/>
          </w:tcPr>
          <w:p w:rsidR="00E05B23" w:rsidRPr="000F3401" w:rsidRDefault="00E05B23" w:rsidP="003511EB">
            <w:pPr>
              <w:rPr>
                <w:rFonts w:ascii="仿宋" w:eastAsia="仿宋" w:hAnsi="仿宋"/>
                <w:color w:val="000000" w:themeColor="text1"/>
                <w:sz w:val="24"/>
              </w:rPr>
            </w:pPr>
          </w:p>
        </w:tc>
        <w:tc>
          <w:tcPr>
            <w:tcW w:w="1417" w:type="dxa"/>
            <w:vMerge/>
          </w:tcPr>
          <w:p w:rsidR="00E05B23" w:rsidRPr="000F3401" w:rsidRDefault="00E05B23" w:rsidP="003511EB">
            <w:pPr>
              <w:rPr>
                <w:rFonts w:ascii="仿宋" w:eastAsia="仿宋" w:hAnsi="仿宋"/>
                <w:color w:val="000000" w:themeColor="text1"/>
                <w:sz w:val="24"/>
              </w:rPr>
            </w:pP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▲两块主控工作在NSF和NSR模式，且两个主控上端口可以同时工作，支持1：1转发备份，倒换时间小于5ms，故障自动切换无丢包，提供含链接的官网证明截图，并加盖公章。</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7</w:t>
            </w:r>
          </w:p>
        </w:tc>
        <w:tc>
          <w:tcPr>
            <w:tcW w:w="1417" w:type="dxa"/>
            <w:vMerge w:val="restart"/>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安全与管理</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支持MACSEC</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8</w:t>
            </w:r>
          </w:p>
        </w:tc>
        <w:tc>
          <w:tcPr>
            <w:tcW w:w="1417" w:type="dxa"/>
            <w:vMerge/>
          </w:tcPr>
          <w:p w:rsidR="00E05B23" w:rsidRPr="000F3401" w:rsidRDefault="00E05B23" w:rsidP="003511EB">
            <w:pPr>
              <w:rPr>
                <w:rFonts w:ascii="仿宋" w:eastAsia="仿宋" w:hAnsi="仿宋"/>
                <w:color w:val="000000" w:themeColor="text1"/>
                <w:sz w:val="24"/>
              </w:rPr>
            </w:pP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▲支持网络切片功能，提供含链接官网证明截图，提供含链接的官网证明截图，并加盖公章。</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0</w:t>
            </w:r>
          </w:p>
        </w:tc>
        <w:tc>
          <w:tcPr>
            <w:tcW w:w="141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国产化要求</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▲CPU和转发芯片要求采用国产化芯片，满足自主可控，提供具有CMA或CNAS标识的权威检测报告，并加盖公章</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1</w:t>
            </w:r>
          </w:p>
        </w:tc>
        <w:tc>
          <w:tcPr>
            <w:tcW w:w="141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配置要求</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★实配：冗余主控，冗余电源，2块个4端口25G光口+8端口10GE光口业务端口板卡，6个万兆多模模块，6个千兆单模，12个千兆多模模块，1块48个千兆电口业务端口板卡</w:t>
            </w:r>
          </w:p>
        </w:tc>
      </w:tr>
      <w:tr w:rsidR="00E05B23" w:rsidRPr="000F3401" w:rsidTr="003511EB">
        <w:tc>
          <w:tcPr>
            <w:tcW w:w="8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2</w:t>
            </w:r>
          </w:p>
        </w:tc>
        <w:tc>
          <w:tcPr>
            <w:tcW w:w="141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服务要求</w:t>
            </w:r>
          </w:p>
        </w:tc>
        <w:tc>
          <w:tcPr>
            <w:tcW w:w="6946"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配置≥3年原厂质保</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tbl>
    <w:p w:rsidR="00E05B23" w:rsidRPr="000F3401" w:rsidRDefault="00E05B23" w:rsidP="00E05B23">
      <w:pPr>
        <w:rPr>
          <w:rFonts w:ascii="仿宋" w:eastAsia="仿宋" w:hAnsi="仿宋"/>
          <w:color w:val="000000" w:themeColor="text1"/>
        </w:rPr>
      </w:pPr>
    </w:p>
    <w:p w:rsidR="00E05B23" w:rsidRPr="000F3401" w:rsidRDefault="00E05B23" w:rsidP="00E05B23">
      <w:pPr>
        <w:pStyle w:val="3"/>
        <w:numPr>
          <w:ilvl w:val="2"/>
          <w:numId w:val="1"/>
        </w:numPr>
        <w:tabs>
          <w:tab w:val="clear" w:pos="720"/>
        </w:tabs>
        <w:spacing w:after="100" w:afterAutospacing="1" w:line="500" w:lineRule="exact"/>
        <w:ind w:left="1740" w:hanging="420"/>
        <w:rPr>
          <w:rFonts w:ascii="仿宋" w:eastAsia="仿宋"/>
          <w:color w:val="000000" w:themeColor="text1"/>
        </w:rPr>
      </w:pPr>
      <w:r w:rsidRPr="000F3401">
        <w:rPr>
          <w:rFonts w:ascii="仿宋" w:eastAsia="仿宋" w:hint="eastAsia"/>
          <w:color w:val="000000" w:themeColor="text1"/>
        </w:rPr>
        <w:t>交换机电路保护器</w:t>
      </w:r>
    </w:p>
    <w:tbl>
      <w:tblPr>
        <w:tblStyle w:val="ac"/>
        <w:tblW w:w="0" w:type="auto"/>
        <w:tblLook w:val="04A0"/>
      </w:tblPr>
      <w:tblGrid>
        <w:gridCol w:w="880"/>
        <w:gridCol w:w="1383"/>
        <w:gridCol w:w="6797"/>
      </w:tblGrid>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序号</w:t>
            </w:r>
          </w:p>
        </w:tc>
        <w:tc>
          <w:tcPr>
            <w:tcW w:w="1383"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指标项</w:t>
            </w:r>
          </w:p>
        </w:tc>
        <w:tc>
          <w:tcPr>
            <w:tcW w:w="6797"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技术参数要求</w:t>
            </w:r>
          </w:p>
        </w:tc>
      </w:tr>
      <w:tr w:rsidR="00E05B23" w:rsidRPr="00D7356E" w:rsidTr="003511EB">
        <w:trPr>
          <w:trHeight w:val="141"/>
        </w:trPr>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lastRenderedPageBreak/>
              <w:t>1</w:t>
            </w:r>
          </w:p>
        </w:tc>
        <w:tc>
          <w:tcPr>
            <w:tcW w:w="1383"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基本要求</w:t>
            </w:r>
          </w:p>
        </w:tc>
        <w:tc>
          <w:tcPr>
            <w:tcW w:w="6797" w:type="dxa"/>
            <w:vAlign w:val="center"/>
          </w:tcPr>
          <w:p w:rsidR="00E05B23" w:rsidRPr="00D7356E" w:rsidRDefault="00E05B23" w:rsidP="003511EB">
            <w:pPr>
              <w:widowControl/>
              <w:jc w:val="left"/>
              <w:textAlignment w:val="center"/>
              <w:rPr>
                <w:rFonts w:ascii="仿宋" w:eastAsia="仿宋" w:hAnsi="仿宋" w:cs="宋体"/>
                <w:color w:val="000000" w:themeColor="text1"/>
                <w:sz w:val="24"/>
                <w:lang/>
              </w:rPr>
            </w:pPr>
            <w:r w:rsidRPr="00D7356E">
              <w:rPr>
                <w:rFonts w:ascii="仿宋" w:eastAsia="仿宋" w:hAnsi="仿宋" w:cs="宋体" w:hint="eastAsia"/>
                <w:color w:val="000000" w:themeColor="text1"/>
                <w:sz w:val="24"/>
              </w:rPr>
              <w:t>设备结构为多功能软硬件一体机，非多个设备组合，减少故障点，机架式</w:t>
            </w:r>
            <w:r w:rsidRPr="00D7356E">
              <w:rPr>
                <w:rFonts w:ascii="仿宋" w:eastAsia="仿宋" w:hAnsi="仿宋" w:cs="宋体" w:hint="eastAsia"/>
                <w:color w:val="000000" w:themeColor="text1"/>
                <w:sz w:val="24"/>
                <w:lang/>
              </w:rPr>
              <w:t>≤1.5U；</w:t>
            </w:r>
          </w:p>
        </w:tc>
      </w:tr>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3</w:t>
            </w:r>
          </w:p>
        </w:tc>
        <w:tc>
          <w:tcPr>
            <w:tcW w:w="1383"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接口要求</w:t>
            </w:r>
          </w:p>
        </w:tc>
        <w:tc>
          <w:tcPr>
            <w:tcW w:w="6797" w:type="dxa"/>
            <w:vAlign w:val="center"/>
          </w:tcPr>
          <w:p w:rsidR="00E05B23" w:rsidRPr="00D7356E" w:rsidRDefault="00E05B23" w:rsidP="003511EB">
            <w:pPr>
              <w:widowControl/>
              <w:jc w:val="left"/>
              <w:textAlignment w:val="center"/>
              <w:rPr>
                <w:rFonts w:ascii="仿宋" w:eastAsia="仿宋" w:hAnsi="仿宋" w:cs="宋体"/>
                <w:color w:val="000000" w:themeColor="text1"/>
                <w:sz w:val="24"/>
                <w:lang/>
              </w:rPr>
            </w:pPr>
            <w:r w:rsidRPr="00D7356E">
              <w:rPr>
                <w:rFonts w:ascii="仿宋" w:eastAsia="仿宋" w:hAnsi="仿宋" w:cs="宋体" w:hint="eastAsia"/>
                <w:color w:val="000000" w:themeColor="text1"/>
                <w:sz w:val="24"/>
              </w:rPr>
              <w:t>★设备标配</w:t>
            </w:r>
            <w:r w:rsidRPr="00D7356E">
              <w:rPr>
                <w:rFonts w:ascii="仿宋" w:eastAsia="仿宋" w:hAnsi="仿宋" w:cs="宋体" w:hint="eastAsia"/>
                <w:color w:val="000000" w:themeColor="text1"/>
                <w:sz w:val="24"/>
                <w:lang/>
              </w:rPr>
              <w:t>触摸显示屏≧2.8寸，通讯接口包含RJ45、WIFI、4G，标配网络防雷接口≧2路、接地通路接口≧2路、RS485接口≧4路、漏电监测接口≧4路、开关量输入接口≧2路、USB接口≧2路、HDMI接口≧1路、电源输出接口≧4路国标插座、输出插座控制键≧4路；（提供产品完整实物的清晰照片并加盖公章）</w:t>
            </w:r>
          </w:p>
        </w:tc>
      </w:tr>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3</w:t>
            </w:r>
          </w:p>
        </w:tc>
        <w:tc>
          <w:tcPr>
            <w:tcW w:w="1383" w:type="dxa"/>
            <w:vMerge w:val="restart"/>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功能要求</w:t>
            </w:r>
          </w:p>
        </w:tc>
        <w:tc>
          <w:tcPr>
            <w:tcW w:w="6797" w:type="dxa"/>
            <w:vAlign w:val="center"/>
          </w:tcPr>
          <w:p w:rsidR="00E05B23" w:rsidRPr="00D7356E" w:rsidRDefault="00E05B23" w:rsidP="003511EB">
            <w:pPr>
              <w:widowControl/>
              <w:jc w:val="left"/>
              <w:textAlignment w:val="center"/>
              <w:rPr>
                <w:rFonts w:ascii="仿宋" w:eastAsia="仿宋" w:hAnsi="仿宋"/>
                <w:color w:val="000000" w:themeColor="text1"/>
                <w:sz w:val="24"/>
              </w:rPr>
            </w:pPr>
            <w:r w:rsidRPr="00D7356E">
              <w:rPr>
                <w:rFonts w:ascii="仿宋" w:eastAsia="仿宋" w:hAnsi="仿宋" w:hint="eastAsia"/>
                <w:color w:val="000000" w:themeColor="text1"/>
                <w:sz w:val="24"/>
              </w:rPr>
              <w:t>▲</w:t>
            </w:r>
            <w:r w:rsidRPr="00D7356E">
              <w:rPr>
                <w:rFonts w:ascii="仿宋" w:eastAsia="仿宋" w:hAnsi="仿宋" w:cs="宋体" w:hint="eastAsia"/>
                <w:color w:val="000000" w:themeColor="text1"/>
                <w:sz w:val="24"/>
                <w:lang/>
              </w:rPr>
              <w:t>支持电流、电压、功率、断电、接地通断监测功能，支持防雷击防浪涌功能</w:t>
            </w:r>
            <w:r w:rsidRPr="00D7356E">
              <w:rPr>
                <w:rFonts w:ascii="仿宋" w:eastAsia="仿宋" w:hAnsi="仿宋" w:cs="宋体"/>
                <w:color w:val="000000" w:themeColor="text1"/>
                <w:sz w:val="24"/>
                <w:lang/>
              </w:rPr>
              <w:t>，</w:t>
            </w:r>
            <w:r w:rsidRPr="00D7356E">
              <w:rPr>
                <w:rFonts w:ascii="仿宋" w:eastAsia="仿宋" w:hAnsi="仿宋" w:cs="宋体" w:hint="eastAsia"/>
                <w:color w:val="000000" w:themeColor="text1"/>
                <w:sz w:val="24"/>
                <w:lang/>
              </w:rPr>
              <w:t>最大放电电流</w:t>
            </w:r>
            <w:r w:rsidRPr="00D7356E">
              <w:rPr>
                <w:rFonts w:ascii="仿宋" w:eastAsia="仿宋" w:hAnsi="仿宋" w:cs="宋体"/>
                <w:color w:val="000000" w:themeColor="text1"/>
                <w:sz w:val="24"/>
                <w:lang/>
              </w:rPr>
              <w:t>Imax(8/20μs)</w:t>
            </w:r>
            <w:r w:rsidRPr="00D7356E">
              <w:rPr>
                <w:rFonts w:ascii="仿宋" w:eastAsia="仿宋" w:hAnsi="仿宋" w:cs="宋体" w:hint="eastAsia"/>
                <w:color w:val="000000" w:themeColor="text1"/>
                <w:sz w:val="24"/>
                <w:lang/>
              </w:rPr>
              <w:t>≧40kA，电压保护水平Up≦</w:t>
            </w:r>
            <w:r w:rsidRPr="00D7356E">
              <w:rPr>
                <w:rFonts w:ascii="仿宋" w:eastAsia="仿宋" w:hAnsi="仿宋" w:cs="宋体"/>
                <w:color w:val="000000" w:themeColor="text1"/>
                <w:sz w:val="24"/>
                <w:lang/>
              </w:rPr>
              <w:t>1.7kV</w:t>
            </w:r>
            <w:r w:rsidRPr="00D7356E">
              <w:rPr>
                <w:rFonts w:ascii="仿宋" w:eastAsia="仿宋" w:hAnsi="仿宋" w:cs="宋体" w:hint="eastAsia"/>
                <w:color w:val="000000" w:themeColor="text1"/>
                <w:sz w:val="24"/>
                <w:lang/>
              </w:rPr>
              <w:t>；（提供具有CNAS和CMA标识的第三方权威机构检测报告并加盖公章）</w:t>
            </w:r>
          </w:p>
        </w:tc>
      </w:tr>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4</w:t>
            </w:r>
          </w:p>
        </w:tc>
        <w:tc>
          <w:tcPr>
            <w:tcW w:w="1383" w:type="dxa"/>
            <w:vMerge/>
            <w:vAlign w:val="center"/>
          </w:tcPr>
          <w:p w:rsidR="00E05B23" w:rsidRPr="00D7356E" w:rsidRDefault="00E05B23" w:rsidP="003511EB">
            <w:pPr>
              <w:rPr>
                <w:rFonts w:ascii="仿宋" w:eastAsia="仿宋" w:hAnsi="仿宋"/>
                <w:color w:val="000000" w:themeColor="text1"/>
                <w:sz w:val="24"/>
              </w:rPr>
            </w:pPr>
          </w:p>
        </w:tc>
        <w:tc>
          <w:tcPr>
            <w:tcW w:w="6797" w:type="dxa"/>
            <w:vAlign w:val="center"/>
          </w:tcPr>
          <w:p w:rsidR="00E05B23" w:rsidRPr="00D7356E" w:rsidRDefault="00E05B23" w:rsidP="003511EB">
            <w:pPr>
              <w:widowControl/>
              <w:jc w:val="left"/>
              <w:textAlignment w:val="center"/>
              <w:rPr>
                <w:rFonts w:ascii="仿宋" w:eastAsia="仿宋" w:hAnsi="仿宋" w:cs="宋体"/>
                <w:color w:val="000000" w:themeColor="text1"/>
                <w:sz w:val="24"/>
              </w:rPr>
            </w:pPr>
            <w:r w:rsidRPr="00D7356E">
              <w:rPr>
                <w:rFonts w:ascii="仿宋" w:eastAsia="仿宋" w:hAnsi="仿宋" w:cs="宋体" w:hint="eastAsia"/>
                <w:color w:val="000000" w:themeColor="text1"/>
                <w:sz w:val="24"/>
              </w:rPr>
              <w:t>设备</w:t>
            </w:r>
            <w:r w:rsidRPr="00D7356E">
              <w:rPr>
                <w:rFonts w:ascii="仿宋" w:eastAsia="仿宋" w:hAnsi="仿宋" w:cs="宋体" w:hint="eastAsia"/>
                <w:color w:val="000000" w:themeColor="text1"/>
                <w:sz w:val="24"/>
                <w:lang/>
              </w:rPr>
              <w:t>内置告警扬声器≧1个，</w:t>
            </w:r>
            <w:r w:rsidRPr="00D7356E">
              <w:rPr>
                <w:rFonts w:ascii="仿宋" w:eastAsia="仿宋" w:hAnsi="仿宋" w:cs="宋体" w:hint="eastAsia"/>
                <w:color w:val="000000" w:themeColor="text1"/>
                <w:sz w:val="24"/>
              </w:rPr>
              <w:t>具有系统、网络、入网、RS485状态指示灯，</w:t>
            </w:r>
            <w:r w:rsidRPr="00D7356E">
              <w:rPr>
                <w:rFonts w:ascii="仿宋" w:eastAsia="仿宋" w:hAnsi="仿宋" w:cs="宋体" w:hint="eastAsia"/>
                <w:color w:val="000000" w:themeColor="text1"/>
                <w:sz w:val="24"/>
                <w:lang/>
              </w:rPr>
              <w:t>告警方式支持本机扬声器告警、手机微信告警、管理平台告警；（提供具有CNAS和CMA标识的第三方权威机构检测报告并加盖公章）</w:t>
            </w:r>
          </w:p>
        </w:tc>
      </w:tr>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5</w:t>
            </w:r>
          </w:p>
        </w:tc>
        <w:tc>
          <w:tcPr>
            <w:tcW w:w="1383" w:type="dxa"/>
            <w:vMerge w:val="restart"/>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设备管理</w:t>
            </w:r>
          </w:p>
        </w:tc>
        <w:tc>
          <w:tcPr>
            <w:tcW w:w="6797" w:type="dxa"/>
            <w:vAlign w:val="center"/>
          </w:tcPr>
          <w:p w:rsidR="00E05B23" w:rsidRPr="00D7356E" w:rsidRDefault="00E05B23" w:rsidP="003511EB">
            <w:pPr>
              <w:widowControl/>
              <w:jc w:val="left"/>
              <w:textAlignment w:val="center"/>
              <w:rPr>
                <w:rFonts w:ascii="仿宋" w:eastAsia="仿宋" w:hAnsi="仿宋"/>
                <w:color w:val="000000" w:themeColor="text1"/>
                <w:sz w:val="24"/>
              </w:rPr>
            </w:pPr>
            <w:r w:rsidRPr="00D7356E">
              <w:rPr>
                <w:rFonts w:ascii="仿宋" w:eastAsia="仿宋" w:hAnsi="仿宋" w:hint="eastAsia"/>
                <w:color w:val="000000" w:themeColor="text1"/>
                <w:sz w:val="24"/>
              </w:rPr>
              <w:t>▲</w:t>
            </w:r>
            <w:r w:rsidRPr="00D7356E">
              <w:rPr>
                <w:rFonts w:ascii="仿宋" w:eastAsia="仿宋" w:hAnsi="仿宋" w:cs="宋体" w:hint="eastAsia"/>
                <w:color w:val="000000" w:themeColor="text1"/>
                <w:sz w:val="24"/>
                <w:lang/>
              </w:rPr>
              <w:t>维护方式可通过手机扫描屏显电子二维码进行关注、查询、故障报修，本机触摸显示屏可查看显示监测指标信息；（提供具有CNAS和CMA标识的第三方权威机构检测报告并加盖公章）</w:t>
            </w:r>
          </w:p>
        </w:tc>
      </w:tr>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6</w:t>
            </w:r>
          </w:p>
        </w:tc>
        <w:tc>
          <w:tcPr>
            <w:tcW w:w="1383" w:type="dxa"/>
            <w:vMerge/>
            <w:vAlign w:val="center"/>
          </w:tcPr>
          <w:p w:rsidR="00E05B23" w:rsidRPr="00D7356E" w:rsidRDefault="00E05B23" w:rsidP="003511EB">
            <w:pPr>
              <w:rPr>
                <w:rFonts w:ascii="仿宋" w:eastAsia="仿宋" w:hAnsi="仿宋"/>
                <w:color w:val="000000" w:themeColor="text1"/>
                <w:sz w:val="24"/>
              </w:rPr>
            </w:pPr>
          </w:p>
        </w:tc>
        <w:tc>
          <w:tcPr>
            <w:tcW w:w="6797" w:type="dxa"/>
            <w:vAlign w:val="center"/>
          </w:tcPr>
          <w:p w:rsidR="00E05B23" w:rsidRPr="00D7356E" w:rsidRDefault="00E05B23" w:rsidP="003511EB">
            <w:pPr>
              <w:pStyle w:val="a6"/>
              <w:widowControl/>
              <w:numPr>
                <w:ilvl w:val="0"/>
                <w:numId w:val="3"/>
              </w:numPr>
              <w:contextualSpacing w:val="0"/>
              <w:jc w:val="left"/>
              <w:textAlignment w:val="center"/>
              <w:rPr>
                <w:rFonts w:ascii="仿宋" w:eastAsia="仿宋" w:hAnsi="仿宋" w:cs="宋体"/>
                <w:color w:val="000000" w:themeColor="text1"/>
                <w:sz w:val="24"/>
                <w:lang/>
              </w:rPr>
            </w:pPr>
            <w:r w:rsidRPr="00D7356E">
              <w:rPr>
                <w:rFonts w:ascii="仿宋" w:eastAsia="仿宋" w:hAnsi="仿宋" w:cs="宋体" w:hint="eastAsia"/>
                <w:color w:val="000000" w:themeColor="text1"/>
                <w:sz w:val="24"/>
                <w:lang/>
              </w:rPr>
              <w:t>管理方式支持Web管理；</w:t>
            </w:r>
          </w:p>
        </w:tc>
      </w:tr>
      <w:tr w:rsidR="00E05B23" w:rsidRPr="00D7356E" w:rsidTr="003511EB">
        <w:tc>
          <w:tcPr>
            <w:tcW w:w="880" w:type="dxa"/>
            <w:vAlign w:val="center"/>
          </w:tcPr>
          <w:p w:rsidR="00E05B23" w:rsidRPr="00D7356E" w:rsidRDefault="00E05B23" w:rsidP="003511EB">
            <w:pPr>
              <w:rPr>
                <w:rFonts w:ascii="仿宋" w:eastAsia="仿宋" w:hAnsi="仿宋"/>
                <w:color w:val="000000" w:themeColor="text1"/>
                <w:sz w:val="24"/>
              </w:rPr>
            </w:pPr>
            <w:r w:rsidRPr="00D7356E">
              <w:rPr>
                <w:rFonts w:ascii="仿宋" w:eastAsia="仿宋" w:hAnsi="仿宋" w:hint="eastAsia"/>
                <w:color w:val="000000" w:themeColor="text1"/>
                <w:sz w:val="24"/>
              </w:rPr>
              <w:t>7</w:t>
            </w:r>
          </w:p>
        </w:tc>
        <w:tc>
          <w:tcPr>
            <w:tcW w:w="1383" w:type="dxa"/>
            <w:vMerge/>
            <w:vAlign w:val="center"/>
          </w:tcPr>
          <w:p w:rsidR="00E05B23" w:rsidRPr="00D7356E" w:rsidRDefault="00E05B23" w:rsidP="003511EB">
            <w:pPr>
              <w:rPr>
                <w:rFonts w:ascii="仿宋" w:eastAsia="仿宋" w:hAnsi="仿宋"/>
                <w:color w:val="000000" w:themeColor="text1"/>
                <w:sz w:val="24"/>
              </w:rPr>
            </w:pPr>
          </w:p>
        </w:tc>
        <w:tc>
          <w:tcPr>
            <w:tcW w:w="6797" w:type="dxa"/>
            <w:vAlign w:val="center"/>
          </w:tcPr>
          <w:p w:rsidR="00E05B23" w:rsidRPr="00D7356E" w:rsidRDefault="00E05B23" w:rsidP="003511EB">
            <w:pPr>
              <w:pStyle w:val="a6"/>
              <w:widowControl/>
              <w:numPr>
                <w:ilvl w:val="0"/>
                <w:numId w:val="3"/>
              </w:numPr>
              <w:contextualSpacing w:val="0"/>
              <w:jc w:val="left"/>
              <w:textAlignment w:val="center"/>
              <w:rPr>
                <w:rFonts w:ascii="仿宋" w:eastAsia="仿宋" w:hAnsi="仿宋"/>
                <w:color w:val="000000" w:themeColor="text1"/>
                <w:sz w:val="24"/>
              </w:rPr>
            </w:pPr>
            <w:r w:rsidRPr="00D7356E">
              <w:rPr>
                <w:rFonts w:ascii="仿宋" w:eastAsia="仿宋" w:hAnsi="仿宋" w:cs="宋体" w:hint="eastAsia"/>
                <w:color w:val="000000" w:themeColor="text1"/>
                <w:sz w:val="24"/>
                <w:lang/>
              </w:rPr>
              <w:t>设备包含云管理平台，平台支持远程监控、管理、运维，支持对监测指标实时查询、数据云存储、备份、数据分析、GIS地图展示、多级用户权限管理；</w:t>
            </w:r>
          </w:p>
        </w:tc>
      </w:tr>
      <w:tr w:rsidR="00E05B23" w:rsidRPr="00D7356E" w:rsidTr="003511EB">
        <w:tc>
          <w:tcPr>
            <w:tcW w:w="880" w:type="dxa"/>
          </w:tcPr>
          <w:p w:rsidR="00E05B23" w:rsidRPr="00D7356E"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2</w:t>
            </w:r>
          </w:p>
        </w:tc>
        <w:tc>
          <w:tcPr>
            <w:tcW w:w="1383" w:type="dxa"/>
          </w:tcPr>
          <w:p w:rsidR="00E05B23" w:rsidRPr="00D7356E"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服务要求</w:t>
            </w:r>
          </w:p>
        </w:tc>
        <w:tc>
          <w:tcPr>
            <w:tcW w:w="6797" w:type="dxa"/>
          </w:tcPr>
          <w:p w:rsidR="00E05B23" w:rsidRPr="00D7356E" w:rsidRDefault="00E05B23" w:rsidP="003511EB">
            <w:pPr>
              <w:widowControl/>
              <w:jc w:val="left"/>
              <w:textAlignment w:val="center"/>
              <w:rPr>
                <w:rFonts w:ascii="仿宋" w:eastAsia="仿宋" w:hAnsi="仿宋" w:cs="宋体"/>
                <w:color w:val="000000" w:themeColor="text1"/>
                <w:sz w:val="24"/>
              </w:rPr>
            </w:pPr>
            <w:r w:rsidRPr="000F3401">
              <w:rPr>
                <w:rFonts w:ascii="仿宋" w:eastAsia="仿宋" w:hAnsi="仿宋" w:hint="eastAsia"/>
                <w:color w:val="000000" w:themeColor="text1"/>
                <w:sz w:val="24"/>
              </w:rPr>
              <w:t>配置≥3年原厂质保</w:t>
            </w:r>
          </w:p>
        </w:tc>
      </w:tr>
    </w:tbl>
    <w:p w:rsidR="00E05B23" w:rsidRPr="000F3401" w:rsidRDefault="00E05B23" w:rsidP="00E05B23">
      <w:pPr>
        <w:pStyle w:val="ab"/>
        <w:rPr>
          <w:color w:val="000000" w:themeColor="text1"/>
        </w:rPr>
      </w:pPr>
    </w:p>
    <w:p w:rsidR="00E05B23" w:rsidRPr="000F3401" w:rsidRDefault="00E05B23" w:rsidP="00E05B23">
      <w:pPr>
        <w:pStyle w:val="3"/>
        <w:numPr>
          <w:ilvl w:val="2"/>
          <w:numId w:val="1"/>
        </w:numPr>
        <w:tabs>
          <w:tab w:val="clear" w:pos="720"/>
        </w:tabs>
        <w:spacing w:after="100" w:afterAutospacing="1" w:line="500" w:lineRule="exact"/>
        <w:ind w:left="1740" w:hanging="420"/>
        <w:rPr>
          <w:rFonts w:ascii="仿宋" w:eastAsia="仿宋"/>
          <w:color w:val="000000" w:themeColor="text1"/>
        </w:rPr>
      </w:pPr>
      <w:r w:rsidRPr="000F3401">
        <w:rPr>
          <w:rFonts w:ascii="仿宋" w:eastAsia="仿宋" w:hint="eastAsia"/>
          <w:color w:val="000000" w:themeColor="text1"/>
        </w:rPr>
        <w:t>网络运维管理平台扩容软件</w:t>
      </w:r>
    </w:p>
    <w:tbl>
      <w:tblPr>
        <w:tblStyle w:val="ac"/>
        <w:tblW w:w="0" w:type="auto"/>
        <w:tblLook w:val="04A0"/>
      </w:tblPr>
      <w:tblGrid>
        <w:gridCol w:w="880"/>
        <w:gridCol w:w="1383"/>
        <w:gridCol w:w="6797"/>
      </w:tblGrid>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序号</w:t>
            </w:r>
          </w:p>
        </w:tc>
        <w:tc>
          <w:tcPr>
            <w:tcW w:w="1383"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指标项</w:t>
            </w: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技术参数要求</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p>
        </w:tc>
        <w:tc>
          <w:tcPr>
            <w:tcW w:w="1383"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系统架构</w:t>
            </w: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★系统使用B/S架构，支持使用WEB浏览器进行界面展示，最多管理20,000台网元</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2</w:t>
            </w:r>
          </w:p>
        </w:tc>
        <w:tc>
          <w:tcPr>
            <w:tcW w:w="1383" w:type="dxa"/>
            <w:vMerge w:val="restart"/>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功能要求</w:t>
            </w: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▲系统应支持多种设备的管理，包括交换机、路由器、防火墙、WLAN、服务器、存储、摄像头、GPON设备。提供含链接的官网证明截图，并加盖公章。</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3</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支持主动在网络设备之间发送诊断报文，测量线路上的丢包率、时延、抖动等关键性能指标。</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4</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支持实时监控全网流量，提供多维度TOPN流量分析报告，帮助用户及时发现网络中异常流量、了解网络带宽的使用情况。</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5</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将添加后的资源（如服务器、网络设备、存储设备等）进行分类和分组管理，用户通过配置不同的分组类型和分组将资源划分为不同类型以及不同分组。提供含链接的官网证明截图或第三方测试报告，并加盖公章。</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6</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支持拖曳式报表定义工具，所见即所得，无需二次开发。</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▲提供多领域、多厂商数据采集能力，包括从下层第三方系统</w:t>
            </w:r>
            <w:r w:rsidRPr="000F3401">
              <w:rPr>
                <w:rFonts w:ascii="仿宋" w:eastAsia="仿宋" w:hAnsi="仿宋" w:hint="eastAsia"/>
                <w:color w:val="000000" w:themeColor="text1"/>
                <w:sz w:val="24"/>
              </w:rPr>
              <w:lastRenderedPageBreak/>
              <w:t>采集网元的告警信息，并将告警集中显示在告警面板中。提供含链接的官网证明截图或第三方测试报告，并加盖公章。</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lastRenderedPageBreak/>
              <w:t>7</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通过可视化技术实现按需构建大屏运维中心，预置丰富的大屏监控模板，开箱即用</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8</w:t>
            </w:r>
          </w:p>
        </w:tc>
        <w:tc>
          <w:tcPr>
            <w:tcW w:w="1383" w:type="dxa"/>
            <w:vMerge w:val="restart"/>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系统管理</w:t>
            </w: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支持配置备份，配置恢复和配置变更功能</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0</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支持对接主流规划工具，可快速导入网规数据，仿真楼栋、楼层、障碍物规划，实现信号覆盖可视。</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1</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支持Dashboard功能，包括概览、TOP AP统计、流量趋势、用户趋势、TOP 区域统计等</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2</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支持一键式故障检测，从终端、空口、AP、AC、连通性、AAA、DHCP七个维度识别问题并提供故障原因和修复建议。</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sidRPr="000F3401">
              <w:rPr>
                <w:rFonts w:ascii="仿宋" w:eastAsia="仿宋" w:hAnsi="仿宋"/>
                <w:color w:val="000000" w:themeColor="text1"/>
                <w:sz w:val="24"/>
              </w:rPr>
              <w:t>3</w:t>
            </w:r>
          </w:p>
        </w:tc>
        <w:tc>
          <w:tcPr>
            <w:tcW w:w="1383" w:type="dxa"/>
            <w:vMerge w:val="restart"/>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配置要求</w:t>
            </w: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w:t>
            </w:r>
            <w:r>
              <w:rPr>
                <w:rFonts w:ascii="仿宋" w:eastAsia="仿宋" w:hAnsi="仿宋" w:hint="eastAsia"/>
                <w:color w:val="000000" w:themeColor="text1"/>
                <w:sz w:val="24"/>
              </w:rPr>
              <w:t>所投产品支持采购人现有华为esight网络运维管理平台在线扩容（提供配置截图）；</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Pr>
                <w:rFonts w:ascii="仿宋" w:eastAsia="仿宋" w:hAnsi="仿宋" w:hint="eastAsia"/>
                <w:color w:val="000000" w:themeColor="text1"/>
                <w:sz w:val="24"/>
              </w:rPr>
              <w:t>1</w:t>
            </w:r>
            <w:r>
              <w:rPr>
                <w:rFonts w:ascii="仿宋" w:eastAsia="仿宋" w:hAnsi="仿宋"/>
                <w:color w:val="000000" w:themeColor="text1"/>
                <w:sz w:val="24"/>
              </w:rPr>
              <w:t>4</w:t>
            </w:r>
          </w:p>
        </w:tc>
        <w:tc>
          <w:tcPr>
            <w:tcW w:w="1383" w:type="dxa"/>
            <w:vMerge/>
            <w:vAlign w:val="center"/>
          </w:tcPr>
          <w:p w:rsidR="00E05B23" w:rsidRPr="000F3401" w:rsidRDefault="00E05B23" w:rsidP="003511EB">
            <w:pPr>
              <w:rPr>
                <w:rFonts w:ascii="仿宋" w:eastAsia="仿宋" w:hAnsi="仿宋"/>
                <w:color w:val="000000" w:themeColor="text1"/>
                <w:sz w:val="24"/>
              </w:rPr>
            </w:pPr>
          </w:p>
        </w:tc>
        <w:tc>
          <w:tcPr>
            <w:tcW w:w="6797"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实配：本次项目所有设备的管理许可</w:t>
            </w:r>
          </w:p>
        </w:tc>
      </w:tr>
      <w:tr w:rsidR="00E05B23" w:rsidRPr="000F3401" w:rsidTr="003511EB">
        <w:tc>
          <w:tcPr>
            <w:tcW w:w="880" w:type="dxa"/>
            <w:vAlign w:val="center"/>
          </w:tcPr>
          <w:p w:rsidR="00E05B23" w:rsidRDefault="00E05B23" w:rsidP="003511EB">
            <w:pPr>
              <w:rPr>
                <w:rFonts w:ascii="仿宋" w:eastAsia="仿宋" w:hAnsi="仿宋"/>
                <w:color w:val="000000" w:themeColor="text1"/>
                <w:sz w:val="24"/>
              </w:rPr>
            </w:pPr>
            <w:r>
              <w:rPr>
                <w:rFonts w:ascii="仿宋" w:eastAsia="仿宋" w:hAnsi="仿宋" w:hint="eastAsia"/>
                <w:color w:val="000000" w:themeColor="text1"/>
                <w:sz w:val="24"/>
              </w:rPr>
              <w:t>1</w:t>
            </w:r>
            <w:r>
              <w:rPr>
                <w:rFonts w:ascii="仿宋" w:eastAsia="仿宋" w:hAnsi="仿宋"/>
                <w:color w:val="000000" w:themeColor="text1"/>
                <w:sz w:val="24"/>
              </w:rPr>
              <w:t>5</w:t>
            </w:r>
          </w:p>
        </w:tc>
        <w:tc>
          <w:tcPr>
            <w:tcW w:w="1383" w:type="dxa"/>
            <w:vMerge w:val="restart"/>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服务要求</w:t>
            </w:r>
          </w:p>
        </w:tc>
        <w:tc>
          <w:tcPr>
            <w:tcW w:w="6797" w:type="dxa"/>
            <w:vAlign w:val="center"/>
          </w:tcPr>
          <w:p w:rsidR="00E05B23" w:rsidRPr="000F3401" w:rsidRDefault="00E05B23" w:rsidP="003511EB">
            <w:pPr>
              <w:rPr>
                <w:rFonts w:ascii="仿宋" w:eastAsia="仿宋" w:hAnsi="仿宋"/>
                <w:color w:val="000000" w:themeColor="text1"/>
                <w:sz w:val="24"/>
              </w:rPr>
            </w:pPr>
            <w:r>
              <w:rPr>
                <w:rFonts w:ascii="仿宋" w:eastAsia="仿宋" w:hAnsi="仿宋" w:hint="eastAsia"/>
                <w:color w:val="000000" w:themeColor="text1"/>
                <w:sz w:val="24"/>
              </w:rPr>
              <w:t>提供现有网络运维管理平台的升级服务；</w:t>
            </w:r>
          </w:p>
        </w:tc>
      </w:tr>
      <w:tr w:rsidR="00E05B23" w:rsidRPr="000F3401" w:rsidTr="003511EB">
        <w:tc>
          <w:tcPr>
            <w:tcW w:w="880" w:type="dxa"/>
            <w:vAlign w:val="center"/>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1</w:t>
            </w:r>
            <w:r>
              <w:rPr>
                <w:rFonts w:ascii="仿宋" w:eastAsia="仿宋" w:hAnsi="仿宋"/>
                <w:color w:val="000000" w:themeColor="text1"/>
                <w:sz w:val="24"/>
              </w:rPr>
              <w:t>6</w:t>
            </w:r>
          </w:p>
        </w:tc>
        <w:tc>
          <w:tcPr>
            <w:tcW w:w="1383" w:type="dxa"/>
            <w:vMerge/>
          </w:tcPr>
          <w:p w:rsidR="00E05B23" w:rsidRPr="000F3401" w:rsidRDefault="00E05B23" w:rsidP="003511EB">
            <w:pPr>
              <w:rPr>
                <w:rFonts w:ascii="仿宋" w:eastAsia="仿宋" w:hAnsi="仿宋"/>
                <w:color w:val="000000" w:themeColor="text1"/>
                <w:sz w:val="24"/>
              </w:rPr>
            </w:pPr>
          </w:p>
        </w:tc>
        <w:tc>
          <w:tcPr>
            <w:tcW w:w="6797" w:type="dxa"/>
          </w:tcPr>
          <w:p w:rsidR="00E05B23" w:rsidRPr="000F3401" w:rsidRDefault="00E05B23" w:rsidP="003511EB">
            <w:pPr>
              <w:rPr>
                <w:rFonts w:ascii="仿宋" w:eastAsia="仿宋" w:hAnsi="仿宋"/>
                <w:color w:val="000000" w:themeColor="text1"/>
                <w:sz w:val="24"/>
              </w:rPr>
            </w:pPr>
            <w:r w:rsidRPr="000F3401">
              <w:rPr>
                <w:rFonts w:ascii="仿宋" w:eastAsia="仿宋" w:hAnsi="仿宋" w:hint="eastAsia"/>
                <w:color w:val="000000" w:themeColor="text1"/>
                <w:sz w:val="24"/>
              </w:rPr>
              <w:t>配置≥</w:t>
            </w:r>
            <w:r>
              <w:rPr>
                <w:rFonts w:ascii="仿宋" w:eastAsia="仿宋" w:hAnsi="仿宋"/>
                <w:color w:val="000000" w:themeColor="text1"/>
                <w:sz w:val="24"/>
              </w:rPr>
              <w:t>1</w:t>
            </w:r>
            <w:r w:rsidRPr="000F3401">
              <w:rPr>
                <w:rFonts w:ascii="仿宋" w:eastAsia="仿宋" w:hAnsi="仿宋" w:hint="eastAsia"/>
                <w:color w:val="000000" w:themeColor="text1"/>
                <w:sz w:val="24"/>
              </w:rPr>
              <w:t>年</w:t>
            </w:r>
            <w:r>
              <w:rPr>
                <w:rFonts w:ascii="仿宋" w:eastAsia="仿宋" w:hAnsi="仿宋" w:hint="eastAsia"/>
                <w:color w:val="000000" w:themeColor="text1"/>
                <w:sz w:val="24"/>
              </w:rPr>
              <w:t>原厂</w:t>
            </w:r>
            <w:r w:rsidRPr="000F3401">
              <w:rPr>
                <w:rFonts w:ascii="仿宋" w:eastAsia="仿宋" w:hAnsi="仿宋" w:hint="eastAsia"/>
                <w:color w:val="000000" w:themeColor="text1"/>
                <w:sz w:val="24"/>
              </w:rPr>
              <w:t>软件升级服务</w:t>
            </w:r>
            <w:r>
              <w:rPr>
                <w:rFonts w:ascii="仿宋" w:eastAsia="仿宋" w:hAnsi="仿宋" w:hint="eastAsia"/>
                <w:color w:val="000000" w:themeColor="text1"/>
                <w:sz w:val="24"/>
              </w:rPr>
              <w:t>；</w:t>
            </w:r>
          </w:p>
        </w:tc>
      </w:tr>
    </w:tbl>
    <w:p w:rsidR="00E05B23" w:rsidRPr="000F3401" w:rsidRDefault="00E05B23" w:rsidP="00E05B23">
      <w:pPr>
        <w:pStyle w:val="1"/>
        <w:spacing w:before="240" w:after="240" w:line="520" w:lineRule="exact"/>
        <w:rPr>
          <w:rFonts w:ascii="仿宋" w:eastAsia="仿宋" w:hAnsi="仿宋"/>
          <w:color w:val="000000" w:themeColor="text1"/>
        </w:rPr>
      </w:pPr>
    </w:p>
    <w:p w:rsidR="005037F4" w:rsidRPr="00E05B23" w:rsidRDefault="005037F4" w:rsidP="00E05B23"/>
    <w:sectPr w:rsidR="005037F4" w:rsidRPr="00E05B23" w:rsidSect="00E37ECC">
      <w:headerReference w:type="default" r:id="rId7"/>
      <w:pgSz w:w="11906" w:h="16838"/>
      <w:pgMar w:top="1418" w:right="1418" w:bottom="1418" w:left="141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1AC" w:rsidRDefault="003161AC">
      <w:r>
        <w:separator/>
      </w:r>
    </w:p>
  </w:endnote>
  <w:endnote w:type="continuationSeparator" w:id="1">
    <w:p w:rsidR="003161AC" w:rsidRDefault="00316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1AC" w:rsidRDefault="003161AC">
      <w:r>
        <w:separator/>
      </w:r>
    </w:p>
  </w:footnote>
  <w:footnote w:type="continuationSeparator" w:id="1">
    <w:p w:rsidR="003161AC" w:rsidRDefault="00316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B4" w:rsidRDefault="00D339B4">
    <w:pPr>
      <w:pStyle w:val="aa"/>
      <w:pBdr>
        <w:bottom w:val="none" w:sz="0" w:space="0" w:color="auto"/>
      </w:pBdr>
      <w:jc w:val="right"/>
      <w:rPr>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0DA"/>
    <w:multiLevelType w:val="multilevel"/>
    <w:tmpl w:val="C664611E"/>
    <w:lvl w:ilvl="0">
      <w:start w:val="1"/>
      <w:numFmt w:val="chineseCountingThousand"/>
      <w:lvlText w:val="%1."/>
      <w:lvlJc w:val="center"/>
      <w:pPr>
        <w:tabs>
          <w:tab w:val="num" w:pos="1440"/>
        </w:tabs>
        <w:ind w:left="432" w:hanging="432"/>
      </w:pPr>
      <w:rPr>
        <w:rFonts w:hint="eastAsia"/>
        <w:b/>
        <w:i w:val="0"/>
        <w:sz w:val="44"/>
        <w:lang w:val="en-US"/>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isLgl/>
      <w:lvlText w:val="%1.%2.%3.%4.%5"/>
      <w:lvlJc w:val="left"/>
      <w:pPr>
        <w:tabs>
          <w:tab w:val="num" w:pos="1859"/>
        </w:tabs>
        <w:ind w:left="1859" w:hanging="1008"/>
      </w:pPr>
      <w:rPr>
        <w:rFonts w:eastAsia="黑体" w:hint="eastAsia"/>
        <w:b/>
        <w:i w:val="0"/>
        <w:sz w:val="24"/>
      </w:rPr>
    </w:lvl>
    <w:lvl w:ilvl="5">
      <w:start w:val="1"/>
      <w:numFmt w:val="decimal"/>
      <w:isLgl/>
      <w:lvlText w:val="%1.%2.%3.%4.%5.%6"/>
      <w:lvlJc w:val="left"/>
      <w:pPr>
        <w:tabs>
          <w:tab w:val="num" w:pos="1152"/>
        </w:tabs>
        <w:ind w:left="115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
    <w:nsid w:val="1E2C29AB"/>
    <w:multiLevelType w:val="multilevel"/>
    <w:tmpl w:val="1E2C29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4C719D5"/>
    <w:multiLevelType w:val="hybridMultilevel"/>
    <w:tmpl w:val="92D0C9DA"/>
    <w:lvl w:ilvl="0" w:tplc="425E743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7F4"/>
    <w:rsid w:val="003161AC"/>
    <w:rsid w:val="005037F4"/>
    <w:rsid w:val="00AC3AE6"/>
    <w:rsid w:val="00B97661"/>
    <w:rsid w:val="00D339B4"/>
    <w:rsid w:val="00E05B23"/>
    <w:rsid w:val="00E37ECC"/>
    <w:rsid w:val="00E5457F"/>
    <w:rsid w:val="00ED16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4"/>
        <w:lang w:val="en-US"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F4"/>
    <w:pPr>
      <w:widowControl w:val="0"/>
      <w:spacing w:after="0" w:line="240" w:lineRule="auto"/>
      <w:jc w:val="both"/>
    </w:pPr>
    <w:rPr>
      <w:rFonts w:ascii="Times New Roman" w:eastAsia="宋体" w:hAnsi="Times New Roman" w:cs="Times New Roman"/>
      <w:sz w:val="21"/>
    </w:rPr>
  </w:style>
  <w:style w:type="paragraph" w:styleId="1">
    <w:name w:val="heading 1"/>
    <w:basedOn w:val="a"/>
    <w:next w:val="a"/>
    <w:link w:val="1Char"/>
    <w:qFormat/>
    <w:rsid w:val="005037F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nhideWhenUsed/>
    <w:qFormat/>
    <w:rsid w:val="005037F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nhideWhenUsed/>
    <w:qFormat/>
    <w:rsid w:val="005037F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5037F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5037F4"/>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5037F4"/>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5037F4"/>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5037F4"/>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5037F4"/>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037F4"/>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qFormat/>
    <w:rsid w:val="005037F4"/>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qFormat/>
    <w:rsid w:val="005037F4"/>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rsid w:val="005037F4"/>
    <w:rPr>
      <w:rFonts w:cstheme="majorBidi"/>
      <w:color w:val="0F4761" w:themeColor="accent1" w:themeShade="BF"/>
      <w:sz w:val="28"/>
      <w:szCs w:val="28"/>
    </w:rPr>
  </w:style>
  <w:style w:type="character" w:customStyle="1" w:styleId="5Char">
    <w:name w:val="标题 5 Char"/>
    <w:basedOn w:val="a0"/>
    <w:link w:val="5"/>
    <w:uiPriority w:val="9"/>
    <w:semiHidden/>
    <w:rsid w:val="005037F4"/>
    <w:rPr>
      <w:rFonts w:cstheme="majorBidi"/>
      <w:color w:val="0F4761" w:themeColor="accent1" w:themeShade="BF"/>
      <w:sz w:val="24"/>
    </w:rPr>
  </w:style>
  <w:style w:type="character" w:customStyle="1" w:styleId="6Char">
    <w:name w:val="标题 6 Char"/>
    <w:basedOn w:val="a0"/>
    <w:link w:val="6"/>
    <w:uiPriority w:val="9"/>
    <w:semiHidden/>
    <w:rsid w:val="005037F4"/>
    <w:rPr>
      <w:rFonts w:cstheme="majorBidi"/>
      <w:b/>
      <w:bCs/>
      <w:color w:val="0F4761" w:themeColor="accent1" w:themeShade="BF"/>
    </w:rPr>
  </w:style>
  <w:style w:type="character" w:customStyle="1" w:styleId="7Char">
    <w:name w:val="标题 7 Char"/>
    <w:basedOn w:val="a0"/>
    <w:link w:val="7"/>
    <w:uiPriority w:val="9"/>
    <w:semiHidden/>
    <w:rsid w:val="005037F4"/>
    <w:rPr>
      <w:rFonts w:cstheme="majorBidi"/>
      <w:b/>
      <w:bCs/>
      <w:color w:val="595959" w:themeColor="text1" w:themeTint="A6"/>
    </w:rPr>
  </w:style>
  <w:style w:type="character" w:customStyle="1" w:styleId="8Char">
    <w:name w:val="标题 8 Char"/>
    <w:basedOn w:val="a0"/>
    <w:link w:val="8"/>
    <w:uiPriority w:val="9"/>
    <w:semiHidden/>
    <w:rsid w:val="005037F4"/>
    <w:rPr>
      <w:rFonts w:cstheme="majorBidi"/>
      <w:color w:val="595959" w:themeColor="text1" w:themeTint="A6"/>
    </w:rPr>
  </w:style>
  <w:style w:type="character" w:customStyle="1" w:styleId="9Char">
    <w:name w:val="标题 9 Char"/>
    <w:basedOn w:val="a0"/>
    <w:link w:val="9"/>
    <w:uiPriority w:val="9"/>
    <w:semiHidden/>
    <w:rsid w:val="005037F4"/>
    <w:rPr>
      <w:rFonts w:eastAsiaTheme="majorEastAsia" w:cstheme="majorBidi"/>
      <w:color w:val="595959" w:themeColor="text1" w:themeTint="A6"/>
    </w:rPr>
  </w:style>
  <w:style w:type="paragraph" w:styleId="a3">
    <w:name w:val="Title"/>
    <w:basedOn w:val="a"/>
    <w:next w:val="a"/>
    <w:link w:val="Char"/>
    <w:uiPriority w:val="10"/>
    <w:qFormat/>
    <w:rsid w:val="005037F4"/>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5037F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037F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4"/>
    <w:uiPriority w:val="11"/>
    <w:rsid w:val="005037F4"/>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5037F4"/>
    <w:pPr>
      <w:spacing w:before="160"/>
      <w:jc w:val="center"/>
    </w:pPr>
    <w:rPr>
      <w:i/>
      <w:iCs/>
      <w:color w:val="404040" w:themeColor="text1" w:themeTint="BF"/>
    </w:rPr>
  </w:style>
  <w:style w:type="character" w:customStyle="1" w:styleId="Char1">
    <w:name w:val="引用 Char"/>
    <w:basedOn w:val="a0"/>
    <w:link w:val="a5"/>
    <w:uiPriority w:val="29"/>
    <w:rsid w:val="005037F4"/>
    <w:rPr>
      <w:i/>
      <w:iCs/>
      <w:color w:val="404040" w:themeColor="text1" w:themeTint="BF"/>
    </w:rPr>
  </w:style>
  <w:style w:type="paragraph" w:styleId="a6">
    <w:name w:val="List Paragraph"/>
    <w:aliases w:val="lp1,List Paragraph1"/>
    <w:basedOn w:val="a"/>
    <w:uiPriority w:val="34"/>
    <w:qFormat/>
    <w:rsid w:val="005037F4"/>
    <w:pPr>
      <w:ind w:left="720"/>
      <w:contextualSpacing/>
    </w:pPr>
  </w:style>
  <w:style w:type="character" w:styleId="a7">
    <w:name w:val="Intense Emphasis"/>
    <w:basedOn w:val="a0"/>
    <w:uiPriority w:val="21"/>
    <w:qFormat/>
    <w:rsid w:val="005037F4"/>
    <w:rPr>
      <w:i/>
      <w:iCs/>
      <w:color w:val="0F4761" w:themeColor="accent1" w:themeShade="BF"/>
    </w:rPr>
  </w:style>
  <w:style w:type="paragraph" w:styleId="a8">
    <w:name w:val="Intense Quote"/>
    <w:basedOn w:val="a"/>
    <w:next w:val="a"/>
    <w:link w:val="Char2"/>
    <w:uiPriority w:val="30"/>
    <w:qFormat/>
    <w:rsid w:val="005037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8"/>
    <w:uiPriority w:val="30"/>
    <w:rsid w:val="005037F4"/>
    <w:rPr>
      <w:i/>
      <w:iCs/>
      <w:color w:val="0F4761" w:themeColor="accent1" w:themeShade="BF"/>
    </w:rPr>
  </w:style>
  <w:style w:type="character" w:styleId="a9">
    <w:name w:val="Intense Reference"/>
    <w:basedOn w:val="a0"/>
    <w:uiPriority w:val="32"/>
    <w:qFormat/>
    <w:rsid w:val="005037F4"/>
    <w:rPr>
      <w:b/>
      <w:bCs/>
      <w:smallCaps/>
      <w:color w:val="0F4761" w:themeColor="accent1" w:themeShade="BF"/>
      <w:spacing w:val="5"/>
    </w:rPr>
  </w:style>
  <w:style w:type="paragraph" w:styleId="aa">
    <w:name w:val="header"/>
    <w:aliases w:val="页眉，DHCC 公司页眉,Header/Footer,header odd,header,Hyphen,Headerleft,left header,NCDOT Header,Header BPA"/>
    <w:basedOn w:val="a"/>
    <w:link w:val="Char3"/>
    <w:uiPriority w:val="99"/>
    <w:qFormat/>
    <w:rsid w:val="005037F4"/>
    <w:pPr>
      <w:pBdr>
        <w:bottom w:val="single" w:sz="6" w:space="1" w:color="auto"/>
      </w:pBdr>
      <w:tabs>
        <w:tab w:val="center" w:pos="4153"/>
        <w:tab w:val="right" w:pos="8306"/>
      </w:tabs>
      <w:snapToGrid w:val="0"/>
      <w:jc w:val="center"/>
    </w:pPr>
    <w:rPr>
      <w:sz w:val="18"/>
    </w:rPr>
  </w:style>
  <w:style w:type="character" w:customStyle="1" w:styleId="Char3">
    <w:name w:val="页眉 Char"/>
    <w:aliases w:val="页眉，DHCC 公司页眉 Char,Header/Footer Char,header odd Char,header Char,Hyphen Char,Headerleft Char,left header Char,NCDOT Header Char,Header BPA Char"/>
    <w:basedOn w:val="a0"/>
    <w:link w:val="aa"/>
    <w:uiPriority w:val="99"/>
    <w:qFormat/>
    <w:rsid w:val="005037F4"/>
    <w:rPr>
      <w:rFonts w:ascii="Times New Roman" w:eastAsia="宋体" w:hAnsi="Times New Roman" w:cs="Times New Roman"/>
      <w:sz w:val="18"/>
    </w:rPr>
  </w:style>
  <w:style w:type="paragraph" w:styleId="ab">
    <w:name w:val="Normal Indent"/>
    <w:basedOn w:val="a"/>
    <w:qFormat/>
    <w:rsid w:val="00E05B23"/>
    <w:pPr>
      <w:ind w:firstLine="420"/>
    </w:pPr>
  </w:style>
  <w:style w:type="table" w:styleId="ac">
    <w:name w:val="Table Grid"/>
    <w:basedOn w:val="a1"/>
    <w:uiPriority w:val="39"/>
    <w:qFormat/>
    <w:rsid w:val="00E05B23"/>
    <w:pPr>
      <w:widowControl w:val="0"/>
      <w:spacing w:after="0" w:line="240"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小潘潘</dc:creator>
  <cp:lastModifiedBy>admin</cp:lastModifiedBy>
  <cp:revision>2</cp:revision>
  <dcterms:created xsi:type="dcterms:W3CDTF">2024-04-26T08:15:00Z</dcterms:created>
  <dcterms:modified xsi:type="dcterms:W3CDTF">2024-04-26T08:15:00Z</dcterms:modified>
</cp:coreProperties>
</file>