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牙椅地箱安装要求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下水管：直径为50mm  PVC管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供电：电压220V,10A，5孔插座，每台牙椅功率1300W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供水：25mmPPR管，加装带有接口为四分内螺纹球阀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供气：诊所所有供气管道全部采用25mm PPR管，加装带有接口为四分内螺纹球阀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负压管：主管采用50mm PVC</w:t>
      </w:r>
      <w:r>
        <w:rPr>
          <w:rFonts w:hint="default"/>
          <w:sz w:val="21"/>
          <w:lang w:val="en-US" w:eastAsia="zh-CN"/>
        </w:rPr>
        <w:t>-U</w:t>
      </w:r>
      <w:r>
        <w:rPr>
          <w:rFonts w:hint="eastAsia"/>
          <w:sz w:val="21"/>
          <w:lang w:val="en-US" w:eastAsia="zh-CN"/>
        </w:rPr>
        <w:t>管，支管采用32mm PVC</w:t>
      </w:r>
      <w:r>
        <w:rPr>
          <w:rFonts w:hint="default"/>
          <w:sz w:val="21"/>
          <w:lang w:val="en-US" w:eastAsia="zh-CN"/>
        </w:rPr>
        <w:t>-U</w:t>
      </w:r>
      <w:r>
        <w:rPr>
          <w:rFonts w:hint="eastAsia"/>
          <w:sz w:val="21"/>
          <w:lang w:val="en-US" w:eastAsia="zh-CN"/>
        </w:rPr>
        <w:t>管，抽吸管每个转角需用2个45°弯角连接，抽吸管需走直线，不得上下弯曲，管道内不得有杂物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控制信号线：采用3*1.5平方电线，并联，2根主线一根备用线，该线无电压触电通断信号</w:t>
      </w:r>
    </w:p>
    <w:p>
      <w:pPr>
        <w:numPr>
          <w:ilvl w:val="0"/>
          <w:numId w:val="1"/>
        </w:numPr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所有管道不得高于地面10CM，并且分布在150mm直径内，并且并不互相干扰工作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安装位置按施工图纸要求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lang w:val="en-US" w:eastAsia="zh-CN"/>
        </w:rPr>
      </w:pPr>
      <w:r>
        <w:drawing>
          <wp:inline distT="0" distB="0" distL="114300" distR="114300">
            <wp:extent cx="5482590" cy="3108960"/>
            <wp:effectExtent l="0" t="0" r="381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jc w:val="center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正负压机房要求</w:t>
      </w:r>
    </w:p>
    <w:p>
      <w:pPr>
        <w:numPr>
          <w:ilvl w:val="0"/>
          <w:numId w:val="2"/>
        </w:numPr>
        <w:jc w:val="both"/>
        <w:rPr>
          <w:rFonts w:hint="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房间通风，空压机+纯水机房留地漏</w:t>
      </w:r>
    </w:p>
    <w:p>
      <w:pPr>
        <w:numPr>
          <w:ilvl w:val="0"/>
          <w:numId w:val="2"/>
        </w:numPr>
        <w:jc w:val="both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正压 2台：3400W/台，各留4平方电线，2条管路连接起来中间用阀门控制开关</w:t>
      </w:r>
    </w:p>
    <w:p>
      <w:pPr>
        <w:numPr>
          <w:ilvl w:val="0"/>
          <w:numId w:val="2"/>
        </w:numPr>
        <w:jc w:val="both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负压2台：1台380V/3000W，一台220V/1300W，2条负压管路连接起来用阀门控制开关，</w:t>
      </w:r>
      <w:r>
        <w:rPr>
          <w:rFonts w:hint="eastAsia"/>
          <w:sz w:val="21"/>
          <w:szCs w:val="22"/>
          <w:lang w:val="en-US" w:eastAsia="zh-CN"/>
        </w:rPr>
        <w:t>留Φ50PVC管通向室外排废气。额外留Φ50PVC</w:t>
      </w:r>
      <w:r>
        <w:rPr>
          <w:rFonts w:hint="eastAsia"/>
          <w:sz w:val="21"/>
          <w:lang w:val="en-US" w:eastAsia="zh-CN"/>
        </w:rPr>
        <w:t>排水口通向室外</w:t>
      </w:r>
    </w:p>
    <w:p>
      <w:pPr>
        <w:numPr>
          <w:ilvl w:val="0"/>
          <w:numId w:val="2"/>
        </w:numPr>
        <w:jc w:val="both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纯水机：2200W/台，留自来水上水，留</w:t>
      </w:r>
      <w:r>
        <w:rPr>
          <w:rFonts w:hint="eastAsia"/>
          <w:sz w:val="21"/>
          <w:szCs w:val="22"/>
          <w:lang w:val="en-US" w:eastAsia="zh-CN"/>
        </w:rPr>
        <w:t>Φ50PVC</w:t>
      </w:r>
      <w:r>
        <w:rPr>
          <w:rFonts w:hint="eastAsia"/>
          <w:sz w:val="21"/>
          <w:lang w:val="en-US" w:eastAsia="zh-CN"/>
        </w:rPr>
        <w:t>排水口，纯水机通向每台牙椅+清洗间+消毒间。自来水管留备用阀门控制自来水通向牙椅+清洗消毒间（打开后自来水直接供牙椅和清洗消毒间）</w:t>
      </w:r>
    </w:p>
    <w:p>
      <w:pPr>
        <w:numPr>
          <w:ilvl w:val="0"/>
          <w:numId w:val="2"/>
        </w:numPr>
        <w:jc w:val="both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污水处理：1000W/台。留自来水上水。每台牙椅污水通向污水处理，负压排水通向污水处理。留备用阀门控制所有污水直接排出室外</w:t>
      </w: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1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/>
          <w:sz w:val="21"/>
          <w:lang w:val="en-US" w:eastAsia="zh-CN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B506B"/>
    <w:multiLevelType w:val="singleLevel"/>
    <w:tmpl w:val="A50B50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ZGNhNjhmNDNjNjU0NDE2M2M5YjUxYWFiOGUwMTMifQ=="/>
  </w:docVars>
  <w:rsids>
    <w:rsidRoot w:val="00000000"/>
    <w:rsid w:val="01A42420"/>
    <w:rsid w:val="03C148A9"/>
    <w:rsid w:val="0EB07D88"/>
    <w:rsid w:val="104F3824"/>
    <w:rsid w:val="2BAF2957"/>
    <w:rsid w:val="3AE362A3"/>
    <w:rsid w:val="537F0AA3"/>
    <w:rsid w:val="542E1881"/>
    <w:rsid w:val="62EB56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629</Words>
  <Characters>744</Characters>
  <Paragraphs>13</Paragraphs>
  <TotalTime>2</TotalTime>
  <ScaleCrop>false</ScaleCrop>
  <LinksUpToDate>false</LinksUpToDate>
  <CharactersWithSpaces>751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2018-07-09T12:46:00Z</dcterms:created>
  <dc:creator>Administrator</dc:creator>
  <cp:lastModifiedBy>陈鹏</cp:lastModifiedBy>
  <dcterms:modified xsi:type="dcterms:W3CDTF">2023-02-20T05:58:26Z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C74BFF3CA70B481A932B632085385CE4</vt:lpwstr>
  </property>
</Properties>
</file>