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南京市第二医院整形外科</w:t>
      </w:r>
      <w:r>
        <w:rPr>
          <w:rFonts w:hint="eastAsia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现设有门诊中心（会议室，注射室，换药室，门诊室等），专科层流门诊手术室（可同时开展六台手术），病房设置15张。具备完善的显微外科，颌面外科，整形美容高档设备。开展各类颌面整形和治疗、各类软组织修复、体表器官再造或修复、美容外科或皮肤年轻化的光电治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学科带头人：刘育凤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博士、主任医师、研究生导师江苏省首批美容主诊医师，江苏省整形美容专业培训讲师，江苏省整形美容专业司法鉴定专家。中国医学科学院北京协和医学院获得博士学位学历。2009年先后于美国德州医学中心，台湾长庚纪念医院学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擅长精细化的眼睑及鼻部整形，尤其擅长复杂眼睑的重睑成形术，眼睑、鼻整形术后的修复术；颌面畸形及颌面轮廓整形；颧骨、下颌骨、颏部整形或畸形的治疗；耳廓、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鼻再造；乳房整形、自体脂肪移植；慢性创面的修复、显微外科皮瓣移植手术；复杂手外伤的修复及功能重建；在江苏省率先开展了复杂面部畸形治疗，DIEP自体组织移植乳房再造、复杂式手外伤的功能重建手术；积累了上万例的手术经验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  <w:t>联系人：朱老师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eastAsia="zh-CN" w:bidi="ar-SA"/>
        </w:rPr>
        <w:t>联系电话：</w:t>
      </w: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  <w:t xml:space="preserve"> 15951976298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Style w:val="6"/>
          <w:rFonts w:hint="eastAsia" w:ascii="仿宋" w:hAnsi="仿宋" w:eastAsia="仿宋" w:cs="仿宋"/>
          <w:color w:val="AB1942"/>
          <w:sz w:val="28"/>
          <w:szCs w:val="28"/>
          <w:lang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E19E3"/>
    <w:rsid w:val="0125042C"/>
    <w:rsid w:val="08092667"/>
    <w:rsid w:val="29173559"/>
    <w:rsid w:val="42406D71"/>
    <w:rsid w:val="44310A7D"/>
    <w:rsid w:val="49DA408D"/>
    <w:rsid w:val="4EAD2A33"/>
    <w:rsid w:val="4EEE19E3"/>
    <w:rsid w:val="5D7D659C"/>
    <w:rsid w:val="6297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2021-01-28T01:04:00Z</dcterms:created>
  <dc:creator>Administrator</dc:creator>
  <cp:lastModifiedBy>冬冬</cp:lastModifiedBy>
  <dcterms:modified xsi:type="dcterms:W3CDTF">2021-06-23T02:31:18Z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